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5388" w14:textId="77777777" w:rsidR="00E96712" w:rsidRPr="00E96712" w:rsidRDefault="00000000">
      <w:pPr>
        <w:rPr>
          <w:b/>
          <w:sz w:val="20"/>
        </w:rPr>
      </w:pPr>
      <w:r w:rsidRPr="00E96712">
        <w:rPr>
          <w:b/>
          <w:sz w:val="20"/>
        </w:rPr>
        <w:t>MEMT 420, Teaching Elementary &amp; Secondary General Music</w:t>
      </w:r>
    </w:p>
    <w:p w14:paraId="3A577F8B" w14:textId="77777777" w:rsidR="00E96712" w:rsidRPr="00E96712" w:rsidRDefault="00000000">
      <w:pPr>
        <w:rPr>
          <w:b/>
          <w:sz w:val="20"/>
        </w:rPr>
      </w:pPr>
      <w:r w:rsidRPr="00E96712">
        <w:rPr>
          <w:b/>
          <w:sz w:val="20"/>
        </w:rPr>
        <w:t>Rubric for Reading Assignments, Spring 2008</w:t>
      </w:r>
    </w:p>
    <w:p w14:paraId="49C4C9FE" w14:textId="77777777" w:rsidR="00E96712" w:rsidRPr="00E96712" w:rsidRDefault="00000000">
      <w:pPr>
        <w:rPr>
          <w:b/>
          <w:sz w:val="20"/>
        </w:rPr>
      </w:pPr>
    </w:p>
    <w:p w14:paraId="1D85EE97" w14:textId="77777777" w:rsidR="00E96712" w:rsidRPr="00E96712" w:rsidRDefault="00000000">
      <w:pPr>
        <w:rPr>
          <w:b/>
          <w:sz w:val="20"/>
        </w:rPr>
      </w:pPr>
      <w:r w:rsidRPr="00E96712">
        <w:rPr>
          <w:b/>
          <w:sz w:val="20"/>
        </w:rPr>
        <w:t>NAME:</w:t>
      </w:r>
      <w:r w:rsidRPr="00E96712">
        <w:rPr>
          <w:b/>
          <w:sz w:val="20"/>
        </w:rPr>
        <w:tab/>
      </w:r>
      <w:r w:rsidRPr="00E96712">
        <w:rPr>
          <w:b/>
          <w:sz w:val="20"/>
        </w:rPr>
        <w:tab/>
      </w:r>
      <w:r w:rsidRPr="00E96712">
        <w:rPr>
          <w:b/>
          <w:sz w:val="20"/>
        </w:rPr>
        <w:tab/>
      </w:r>
      <w:r w:rsidRPr="00E96712">
        <w:rPr>
          <w:b/>
          <w:sz w:val="20"/>
        </w:rPr>
        <w:tab/>
      </w:r>
      <w:r w:rsidRPr="00E96712">
        <w:rPr>
          <w:b/>
          <w:sz w:val="20"/>
        </w:rPr>
        <w:tab/>
      </w:r>
      <w:r w:rsidRPr="00E96712">
        <w:rPr>
          <w:b/>
          <w:sz w:val="20"/>
        </w:rPr>
        <w:tab/>
        <w:t>DATE:</w:t>
      </w:r>
    </w:p>
    <w:p w14:paraId="361EDE1D" w14:textId="77777777" w:rsidR="00E96712" w:rsidRPr="00E96712" w:rsidRDefault="00000000">
      <w:pPr>
        <w:rPr>
          <w:b/>
          <w:sz w:val="20"/>
        </w:rPr>
      </w:pPr>
    </w:p>
    <w:p w14:paraId="593BCE68" w14:textId="77777777" w:rsidR="00E96712" w:rsidRPr="00E96712" w:rsidRDefault="00000000">
      <w:pPr>
        <w:rPr>
          <w:sz w:val="20"/>
        </w:rPr>
      </w:pPr>
      <w:r w:rsidRPr="00E96712">
        <w:rPr>
          <w:sz w:val="20"/>
        </w:rPr>
        <w:t xml:space="preserve">All students are held responsible and accountable for the course readings and are held responsible for them to be completed by the dates </w:t>
      </w:r>
      <w:r w:rsidRPr="00E96712">
        <w:rPr>
          <w:sz w:val="20"/>
        </w:rPr>
        <w:t>on the syllabus.  The readings are designed to add theoretical background to the practical applications made in class and are considered extremely important for successful teaching.  All students should prepare the reading assignments by (1) carefully read</w:t>
      </w:r>
      <w:r w:rsidRPr="00E96712">
        <w:rPr>
          <w:sz w:val="20"/>
        </w:rPr>
        <w:t xml:space="preserve">ing each selection, (2) noting the basic premise(s) of each selection, (3) paraphrasing the main points of the selection, and (4) leading class discussion for each selection.  The following rubric will be utilized to assess each student’s success with the </w:t>
      </w:r>
      <w:r w:rsidRPr="00E96712">
        <w:rPr>
          <w:sz w:val="20"/>
        </w:rPr>
        <w:t>reading assignments.</w:t>
      </w:r>
    </w:p>
    <w:p w14:paraId="666A5DBF" w14:textId="77777777" w:rsidR="00E96712" w:rsidRPr="00E96712" w:rsidRDefault="00000000">
      <w:pPr>
        <w:rPr>
          <w:sz w:val="20"/>
        </w:rPr>
      </w:pPr>
    </w:p>
    <w:tbl>
      <w:tblPr>
        <w:tblStyle w:val="TableGrid"/>
        <w:tblW w:w="0" w:type="auto"/>
        <w:tblLook w:val="00BF" w:firstRow="1" w:lastRow="0" w:firstColumn="1" w:lastColumn="0" w:noHBand="0" w:noVBand="0"/>
      </w:tblPr>
      <w:tblGrid>
        <w:gridCol w:w="2664"/>
        <w:gridCol w:w="2664"/>
        <w:gridCol w:w="2664"/>
        <w:gridCol w:w="2664"/>
        <w:gridCol w:w="2664"/>
      </w:tblGrid>
      <w:tr w:rsidR="00E96712" w:rsidRPr="00E96712" w14:paraId="11068A4B" w14:textId="77777777">
        <w:trPr>
          <w:trHeight w:val="476"/>
        </w:trPr>
        <w:tc>
          <w:tcPr>
            <w:tcW w:w="2664" w:type="dxa"/>
          </w:tcPr>
          <w:p w14:paraId="199B4CCB" w14:textId="77777777" w:rsidR="00E96712" w:rsidRPr="00E96712" w:rsidRDefault="00000000">
            <w:pPr>
              <w:rPr>
                <w:b/>
                <w:i/>
                <w:sz w:val="20"/>
              </w:rPr>
            </w:pPr>
            <w:r w:rsidRPr="00E96712">
              <w:rPr>
                <w:b/>
                <w:i/>
                <w:sz w:val="20"/>
              </w:rPr>
              <w:t>Criteria</w:t>
            </w:r>
          </w:p>
        </w:tc>
        <w:tc>
          <w:tcPr>
            <w:tcW w:w="2664" w:type="dxa"/>
          </w:tcPr>
          <w:p w14:paraId="75DDCA81" w14:textId="77777777" w:rsidR="00E96712" w:rsidRPr="00E96712" w:rsidRDefault="00000000" w:rsidP="00E96712">
            <w:pPr>
              <w:jc w:val="center"/>
              <w:rPr>
                <w:sz w:val="20"/>
              </w:rPr>
            </w:pPr>
            <w:r w:rsidRPr="00E96712">
              <w:rPr>
                <w:sz w:val="20"/>
              </w:rPr>
              <w:t>1</w:t>
            </w:r>
          </w:p>
        </w:tc>
        <w:tc>
          <w:tcPr>
            <w:tcW w:w="2664" w:type="dxa"/>
          </w:tcPr>
          <w:p w14:paraId="58AEB0FF" w14:textId="77777777" w:rsidR="00E96712" w:rsidRPr="00E96712" w:rsidRDefault="00000000" w:rsidP="00E96712">
            <w:pPr>
              <w:jc w:val="center"/>
              <w:rPr>
                <w:sz w:val="20"/>
              </w:rPr>
            </w:pPr>
            <w:r w:rsidRPr="00E96712">
              <w:rPr>
                <w:sz w:val="20"/>
              </w:rPr>
              <w:t>2</w:t>
            </w:r>
          </w:p>
        </w:tc>
        <w:tc>
          <w:tcPr>
            <w:tcW w:w="2664" w:type="dxa"/>
          </w:tcPr>
          <w:p w14:paraId="40C90379" w14:textId="77777777" w:rsidR="00E96712" w:rsidRPr="00E96712" w:rsidRDefault="00000000" w:rsidP="00E96712">
            <w:pPr>
              <w:jc w:val="center"/>
              <w:rPr>
                <w:sz w:val="20"/>
              </w:rPr>
            </w:pPr>
            <w:r w:rsidRPr="00E96712">
              <w:rPr>
                <w:sz w:val="20"/>
              </w:rPr>
              <w:t>3</w:t>
            </w:r>
          </w:p>
        </w:tc>
        <w:tc>
          <w:tcPr>
            <w:tcW w:w="2664" w:type="dxa"/>
          </w:tcPr>
          <w:p w14:paraId="7A9714D1" w14:textId="77777777" w:rsidR="00E96712" w:rsidRPr="00E96712" w:rsidRDefault="00000000" w:rsidP="00E96712">
            <w:pPr>
              <w:jc w:val="center"/>
              <w:rPr>
                <w:sz w:val="20"/>
              </w:rPr>
            </w:pPr>
            <w:r w:rsidRPr="00E96712">
              <w:rPr>
                <w:sz w:val="20"/>
              </w:rPr>
              <w:t>4</w:t>
            </w:r>
          </w:p>
        </w:tc>
      </w:tr>
      <w:tr w:rsidR="00E96712" w:rsidRPr="00E96712" w14:paraId="4C34EBB6" w14:textId="77777777">
        <w:trPr>
          <w:trHeight w:val="980"/>
        </w:trPr>
        <w:tc>
          <w:tcPr>
            <w:tcW w:w="2664" w:type="dxa"/>
          </w:tcPr>
          <w:p w14:paraId="42F4162B" w14:textId="77777777" w:rsidR="00E96712" w:rsidRPr="00E96712" w:rsidRDefault="00000000">
            <w:pPr>
              <w:rPr>
                <w:b/>
                <w:i/>
                <w:sz w:val="20"/>
              </w:rPr>
            </w:pPr>
            <w:r w:rsidRPr="00E96712">
              <w:rPr>
                <w:b/>
                <w:i/>
                <w:sz w:val="20"/>
              </w:rPr>
              <w:t xml:space="preserve">Ability to identify </w:t>
            </w:r>
            <w:proofErr w:type="gramStart"/>
            <w:r w:rsidRPr="00E96712">
              <w:rPr>
                <w:b/>
                <w:i/>
                <w:sz w:val="20"/>
              </w:rPr>
              <w:t>the  major</w:t>
            </w:r>
            <w:proofErr w:type="gramEnd"/>
            <w:r w:rsidRPr="00E96712">
              <w:rPr>
                <w:b/>
                <w:i/>
                <w:sz w:val="20"/>
              </w:rPr>
              <w:t xml:space="preserve"> premise(s) in the reading(s).</w:t>
            </w:r>
          </w:p>
        </w:tc>
        <w:tc>
          <w:tcPr>
            <w:tcW w:w="2664" w:type="dxa"/>
          </w:tcPr>
          <w:p w14:paraId="29034EEE" w14:textId="77777777" w:rsidR="00E96712" w:rsidRPr="00E96712" w:rsidRDefault="00000000">
            <w:pPr>
              <w:rPr>
                <w:sz w:val="20"/>
              </w:rPr>
            </w:pPr>
            <w:r w:rsidRPr="00E96712">
              <w:rPr>
                <w:sz w:val="20"/>
              </w:rPr>
              <w:t>Has no knowledge of the reading content; comments are not related to the reading.</w:t>
            </w:r>
          </w:p>
        </w:tc>
        <w:tc>
          <w:tcPr>
            <w:tcW w:w="2664" w:type="dxa"/>
          </w:tcPr>
          <w:p w14:paraId="7EF7DC18" w14:textId="77777777" w:rsidR="00E96712" w:rsidRPr="00E96712" w:rsidRDefault="00000000">
            <w:pPr>
              <w:rPr>
                <w:sz w:val="20"/>
              </w:rPr>
            </w:pPr>
            <w:r w:rsidRPr="00E96712">
              <w:rPr>
                <w:sz w:val="20"/>
              </w:rPr>
              <w:t>Has some knowledge of the reading content; speaks to one issue in general</w:t>
            </w:r>
            <w:r w:rsidRPr="00E96712">
              <w:rPr>
                <w:sz w:val="20"/>
              </w:rPr>
              <w:t xml:space="preserve"> terms.</w:t>
            </w:r>
          </w:p>
        </w:tc>
        <w:tc>
          <w:tcPr>
            <w:tcW w:w="2664" w:type="dxa"/>
          </w:tcPr>
          <w:p w14:paraId="05C38A8B" w14:textId="77777777" w:rsidR="00E96712" w:rsidRPr="00E96712" w:rsidRDefault="00000000">
            <w:pPr>
              <w:rPr>
                <w:sz w:val="20"/>
              </w:rPr>
            </w:pPr>
            <w:r w:rsidRPr="00E96712">
              <w:rPr>
                <w:sz w:val="20"/>
              </w:rPr>
              <w:t>Has a fair amount of knowledge of reading content; speaks to at least 3 points in the reading.</w:t>
            </w:r>
          </w:p>
        </w:tc>
        <w:tc>
          <w:tcPr>
            <w:tcW w:w="2664" w:type="dxa"/>
          </w:tcPr>
          <w:p w14:paraId="39A6B9DB" w14:textId="77777777" w:rsidR="00E96712" w:rsidRPr="00E96712" w:rsidRDefault="00000000">
            <w:pPr>
              <w:rPr>
                <w:sz w:val="20"/>
              </w:rPr>
            </w:pPr>
            <w:r w:rsidRPr="00E96712">
              <w:rPr>
                <w:sz w:val="20"/>
              </w:rPr>
              <w:t>Has extensive knowledge of reading content; speaks to at least 4 points &amp; analyzes their effectiveness in classroom.</w:t>
            </w:r>
          </w:p>
        </w:tc>
      </w:tr>
      <w:tr w:rsidR="00E96712" w:rsidRPr="00E96712" w14:paraId="098B2988" w14:textId="77777777">
        <w:trPr>
          <w:trHeight w:val="989"/>
        </w:trPr>
        <w:tc>
          <w:tcPr>
            <w:tcW w:w="2664" w:type="dxa"/>
          </w:tcPr>
          <w:p w14:paraId="25438733" w14:textId="77777777" w:rsidR="00E96712" w:rsidRPr="00E96712" w:rsidRDefault="00000000">
            <w:pPr>
              <w:rPr>
                <w:b/>
                <w:i/>
                <w:sz w:val="20"/>
              </w:rPr>
            </w:pPr>
            <w:r w:rsidRPr="00E96712">
              <w:rPr>
                <w:b/>
                <w:i/>
                <w:sz w:val="20"/>
              </w:rPr>
              <w:t xml:space="preserve">Demonstration of paraphrasing main </w:t>
            </w:r>
            <w:r w:rsidRPr="00E96712">
              <w:rPr>
                <w:b/>
                <w:i/>
                <w:sz w:val="20"/>
              </w:rPr>
              <w:t>points of the reading(s).</w:t>
            </w:r>
          </w:p>
        </w:tc>
        <w:tc>
          <w:tcPr>
            <w:tcW w:w="2664" w:type="dxa"/>
          </w:tcPr>
          <w:p w14:paraId="2AA68074" w14:textId="77777777" w:rsidR="00E96712" w:rsidRPr="00E96712" w:rsidRDefault="00000000">
            <w:pPr>
              <w:rPr>
                <w:sz w:val="20"/>
              </w:rPr>
            </w:pPr>
            <w:r w:rsidRPr="00E96712">
              <w:rPr>
                <w:sz w:val="20"/>
              </w:rPr>
              <w:t>Cannot comment on the reading without reading directly from the content.</w:t>
            </w:r>
          </w:p>
        </w:tc>
        <w:tc>
          <w:tcPr>
            <w:tcW w:w="2664" w:type="dxa"/>
          </w:tcPr>
          <w:p w14:paraId="509A9C36" w14:textId="77777777" w:rsidR="00E96712" w:rsidRPr="00E96712" w:rsidRDefault="00000000">
            <w:pPr>
              <w:rPr>
                <w:sz w:val="20"/>
              </w:rPr>
            </w:pPr>
            <w:r w:rsidRPr="00E96712">
              <w:rPr>
                <w:sz w:val="20"/>
              </w:rPr>
              <w:t>Can accurately paraphrase one issue in general terms.</w:t>
            </w:r>
          </w:p>
        </w:tc>
        <w:tc>
          <w:tcPr>
            <w:tcW w:w="2664" w:type="dxa"/>
          </w:tcPr>
          <w:p w14:paraId="566794B0" w14:textId="77777777" w:rsidR="00E96712" w:rsidRPr="00E96712" w:rsidRDefault="00000000">
            <w:pPr>
              <w:rPr>
                <w:sz w:val="20"/>
              </w:rPr>
            </w:pPr>
            <w:r w:rsidRPr="00E96712">
              <w:rPr>
                <w:sz w:val="20"/>
              </w:rPr>
              <w:t>Can accurately paraphrase at least 3 points in the reading.</w:t>
            </w:r>
          </w:p>
        </w:tc>
        <w:tc>
          <w:tcPr>
            <w:tcW w:w="2664" w:type="dxa"/>
          </w:tcPr>
          <w:p w14:paraId="5EC0124E" w14:textId="77777777" w:rsidR="00E96712" w:rsidRPr="00E96712" w:rsidRDefault="00000000">
            <w:pPr>
              <w:rPr>
                <w:sz w:val="20"/>
              </w:rPr>
            </w:pPr>
            <w:r w:rsidRPr="00E96712">
              <w:rPr>
                <w:sz w:val="20"/>
              </w:rPr>
              <w:t>Can accurately paraphrase at least 4 points</w:t>
            </w:r>
            <w:r w:rsidRPr="00E96712">
              <w:rPr>
                <w:sz w:val="20"/>
              </w:rPr>
              <w:t>, demonstrating finesse in language choices &amp; clarity of expression.</w:t>
            </w:r>
          </w:p>
        </w:tc>
      </w:tr>
      <w:tr w:rsidR="00E96712" w:rsidRPr="00E96712" w14:paraId="78477CA8" w14:textId="77777777">
        <w:trPr>
          <w:trHeight w:val="1152"/>
        </w:trPr>
        <w:tc>
          <w:tcPr>
            <w:tcW w:w="2664" w:type="dxa"/>
          </w:tcPr>
          <w:p w14:paraId="3AC50F2A" w14:textId="77777777" w:rsidR="00E96712" w:rsidRPr="00E96712" w:rsidRDefault="00000000">
            <w:pPr>
              <w:rPr>
                <w:b/>
                <w:i/>
                <w:sz w:val="20"/>
              </w:rPr>
            </w:pPr>
            <w:r w:rsidRPr="00E96712">
              <w:rPr>
                <w:b/>
                <w:i/>
                <w:sz w:val="20"/>
              </w:rPr>
              <w:t>Ability to initiate discussion &amp; respond to other students based on the reading(s).</w:t>
            </w:r>
          </w:p>
        </w:tc>
        <w:tc>
          <w:tcPr>
            <w:tcW w:w="2664" w:type="dxa"/>
          </w:tcPr>
          <w:p w14:paraId="34E3800C" w14:textId="77777777" w:rsidR="00E96712" w:rsidRPr="00E96712" w:rsidRDefault="00000000">
            <w:pPr>
              <w:rPr>
                <w:sz w:val="20"/>
              </w:rPr>
            </w:pPr>
            <w:r w:rsidRPr="00E96712">
              <w:rPr>
                <w:sz w:val="20"/>
              </w:rPr>
              <w:t>Does not attempt to initiate discussion of the reading or contribute to others’ responses.</w:t>
            </w:r>
          </w:p>
        </w:tc>
        <w:tc>
          <w:tcPr>
            <w:tcW w:w="2664" w:type="dxa"/>
          </w:tcPr>
          <w:p w14:paraId="16B41245" w14:textId="77777777" w:rsidR="00E96712" w:rsidRPr="00E96712" w:rsidRDefault="00000000">
            <w:pPr>
              <w:rPr>
                <w:sz w:val="20"/>
              </w:rPr>
            </w:pPr>
            <w:r w:rsidRPr="00E96712">
              <w:rPr>
                <w:sz w:val="20"/>
              </w:rPr>
              <w:t>Makes a sta</w:t>
            </w:r>
            <w:r w:rsidRPr="00E96712">
              <w:rPr>
                <w:sz w:val="20"/>
              </w:rPr>
              <w:t>tement regarding the content, either supporting or refuting, but does not respond to others’ comments.</w:t>
            </w:r>
          </w:p>
        </w:tc>
        <w:tc>
          <w:tcPr>
            <w:tcW w:w="2664" w:type="dxa"/>
          </w:tcPr>
          <w:p w14:paraId="152DA69A" w14:textId="77777777" w:rsidR="00E96712" w:rsidRPr="00E96712" w:rsidRDefault="00000000">
            <w:pPr>
              <w:rPr>
                <w:sz w:val="20"/>
              </w:rPr>
            </w:pPr>
            <w:r w:rsidRPr="00E96712">
              <w:rPr>
                <w:sz w:val="20"/>
              </w:rPr>
              <w:t>Makes statements regarding the content, either supporting or refuting, and then dialogues with others’ comments.</w:t>
            </w:r>
          </w:p>
        </w:tc>
        <w:tc>
          <w:tcPr>
            <w:tcW w:w="2664" w:type="dxa"/>
          </w:tcPr>
          <w:p w14:paraId="135D2B01" w14:textId="77777777" w:rsidR="00E96712" w:rsidRPr="00E96712" w:rsidRDefault="00000000">
            <w:pPr>
              <w:rPr>
                <w:sz w:val="20"/>
              </w:rPr>
            </w:pPr>
            <w:r w:rsidRPr="00E96712">
              <w:rPr>
                <w:sz w:val="20"/>
              </w:rPr>
              <w:t xml:space="preserve">Makes statements regarding the content, </w:t>
            </w:r>
            <w:r w:rsidRPr="00E96712">
              <w:rPr>
                <w:sz w:val="20"/>
              </w:rPr>
              <w:t>either supporting or refuting, and then analyzes/interprets others’ comments in terms of practical application in the classroom.</w:t>
            </w:r>
          </w:p>
        </w:tc>
      </w:tr>
      <w:tr w:rsidR="00E96712" w:rsidRPr="00E96712" w14:paraId="2472A47E" w14:textId="77777777">
        <w:trPr>
          <w:trHeight w:val="980"/>
        </w:trPr>
        <w:tc>
          <w:tcPr>
            <w:tcW w:w="2664" w:type="dxa"/>
          </w:tcPr>
          <w:p w14:paraId="69863B2E" w14:textId="77777777" w:rsidR="00E96712" w:rsidRPr="00E96712" w:rsidRDefault="00000000">
            <w:pPr>
              <w:rPr>
                <w:b/>
                <w:i/>
                <w:sz w:val="20"/>
              </w:rPr>
            </w:pPr>
            <w:r w:rsidRPr="00E96712">
              <w:rPr>
                <w:b/>
                <w:i/>
                <w:sz w:val="20"/>
              </w:rPr>
              <w:t>Overall competency with the reading assignment.</w:t>
            </w:r>
          </w:p>
        </w:tc>
        <w:tc>
          <w:tcPr>
            <w:tcW w:w="2664" w:type="dxa"/>
          </w:tcPr>
          <w:p w14:paraId="5D99412E" w14:textId="77777777" w:rsidR="00E96712" w:rsidRPr="00E96712" w:rsidRDefault="00000000">
            <w:pPr>
              <w:rPr>
                <w:sz w:val="20"/>
              </w:rPr>
            </w:pPr>
            <w:r w:rsidRPr="00E96712">
              <w:rPr>
                <w:sz w:val="20"/>
              </w:rPr>
              <w:t>Does not demonstrate knowledge of reading &amp;/or leadership in discussion.</w:t>
            </w:r>
          </w:p>
        </w:tc>
        <w:tc>
          <w:tcPr>
            <w:tcW w:w="2664" w:type="dxa"/>
          </w:tcPr>
          <w:p w14:paraId="5B666A03" w14:textId="77777777" w:rsidR="00E96712" w:rsidRPr="00E96712" w:rsidRDefault="00000000">
            <w:pPr>
              <w:rPr>
                <w:sz w:val="20"/>
              </w:rPr>
            </w:pPr>
            <w:r w:rsidRPr="00E96712">
              <w:rPr>
                <w:sz w:val="20"/>
              </w:rPr>
              <w:t>Shows</w:t>
            </w:r>
            <w:r w:rsidRPr="00E96712">
              <w:rPr>
                <w:sz w:val="20"/>
              </w:rPr>
              <w:t xml:space="preserve"> limited knowledge of reading &amp;/or minimally leads discussion.</w:t>
            </w:r>
          </w:p>
        </w:tc>
        <w:tc>
          <w:tcPr>
            <w:tcW w:w="2664" w:type="dxa"/>
          </w:tcPr>
          <w:p w14:paraId="02FDC8F0" w14:textId="77777777" w:rsidR="00E96712" w:rsidRPr="00E96712" w:rsidRDefault="00000000">
            <w:pPr>
              <w:rPr>
                <w:sz w:val="20"/>
              </w:rPr>
            </w:pPr>
            <w:r w:rsidRPr="00E96712">
              <w:rPr>
                <w:sz w:val="20"/>
              </w:rPr>
              <w:t>Demonstrates knowledge of reading &amp; leads discussion in a meaningful way.</w:t>
            </w:r>
          </w:p>
        </w:tc>
        <w:tc>
          <w:tcPr>
            <w:tcW w:w="2664" w:type="dxa"/>
          </w:tcPr>
          <w:p w14:paraId="5D125C7A" w14:textId="77777777" w:rsidR="00E96712" w:rsidRPr="00E96712" w:rsidRDefault="00000000">
            <w:pPr>
              <w:rPr>
                <w:sz w:val="20"/>
              </w:rPr>
            </w:pPr>
            <w:r w:rsidRPr="00E96712">
              <w:rPr>
                <w:sz w:val="20"/>
              </w:rPr>
              <w:t>Analyzes reading, contributes practical applications to music education, &amp; leads discussion in an exemplary way.</w:t>
            </w:r>
          </w:p>
        </w:tc>
      </w:tr>
      <w:tr w:rsidR="00E96712" w:rsidRPr="00E96712" w14:paraId="2BCC63F4" w14:textId="77777777">
        <w:trPr>
          <w:trHeight w:val="980"/>
        </w:trPr>
        <w:tc>
          <w:tcPr>
            <w:tcW w:w="2664" w:type="dxa"/>
          </w:tcPr>
          <w:p w14:paraId="5D1D3D07" w14:textId="77777777" w:rsidR="00E96712" w:rsidRPr="00E96712" w:rsidRDefault="00000000">
            <w:pPr>
              <w:rPr>
                <w:b/>
                <w:i/>
                <w:sz w:val="20"/>
              </w:rPr>
            </w:pPr>
            <w:r w:rsidRPr="00E96712">
              <w:rPr>
                <w:b/>
                <w:i/>
                <w:sz w:val="20"/>
              </w:rPr>
              <w:t>Total</w:t>
            </w:r>
            <w:r w:rsidRPr="00E96712">
              <w:rPr>
                <w:b/>
                <w:i/>
                <w:sz w:val="20"/>
              </w:rPr>
              <w:t xml:space="preserve"> points for this assignment.</w:t>
            </w:r>
          </w:p>
        </w:tc>
        <w:tc>
          <w:tcPr>
            <w:tcW w:w="2664" w:type="dxa"/>
          </w:tcPr>
          <w:p w14:paraId="45BB2BC8" w14:textId="77777777" w:rsidR="00E96712" w:rsidRPr="00E96712" w:rsidRDefault="00000000">
            <w:pPr>
              <w:rPr>
                <w:sz w:val="20"/>
              </w:rPr>
            </w:pPr>
          </w:p>
        </w:tc>
        <w:tc>
          <w:tcPr>
            <w:tcW w:w="2664" w:type="dxa"/>
          </w:tcPr>
          <w:p w14:paraId="388B6342" w14:textId="77777777" w:rsidR="00E96712" w:rsidRPr="00E96712" w:rsidRDefault="00000000">
            <w:pPr>
              <w:rPr>
                <w:sz w:val="20"/>
              </w:rPr>
            </w:pPr>
          </w:p>
        </w:tc>
        <w:tc>
          <w:tcPr>
            <w:tcW w:w="2664" w:type="dxa"/>
          </w:tcPr>
          <w:p w14:paraId="566BBF61" w14:textId="77777777" w:rsidR="00E96712" w:rsidRPr="00E96712" w:rsidRDefault="00000000">
            <w:pPr>
              <w:rPr>
                <w:sz w:val="20"/>
              </w:rPr>
            </w:pPr>
          </w:p>
        </w:tc>
        <w:tc>
          <w:tcPr>
            <w:tcW w:w="2664" w:type="dxa"/>
          </w:tcPr>
          <w:p w14:paraId="7E99D55C" w14:textId="77777777" w:rsidR="00E96712" w:rsidRPr="00E96712" w:rsidRDefault="00000000">
            <w:pPr>
              <w:rPr>
                <w:sz w:val="20"/>
              </w:rPr>
            </w:pPr>
          </w:p>
          <w:p w14:paraId="6E9B248D" w14:textId="77777777" w:rsidR="00E96712" w:rsidRPr="00E96712" w:rsidRDefault="00000000">
            <w:pPr>
              <w:rPr>
                <w:sz w:val="20"/>
              </w:rPr>
            </w:pPr>
          </w:p>
          <w:p w14:paraId="50D6386C" w14:textId="77777777" w:rsidR="00E96712" w:rsidRPr="00E96712" w:rsidRDefault="00000000">
            <w:pPr>
              <w:rPr>
                <w:sz w:val="20"/>
              </w:rPr>
            </w:pPr>
          </w:p>
          <w:p w14:paraId="453F632C" w14:textId="77777777" w:rsidR="00E96712" w:rsidRPr="00E96712" w:rsidRDefault="00000000">
            <w:pPr>
              <w:rPr>
                <w:b/>
                <w:i/>
                <w:sz w:val="20"/>
              </w:rPr>
            </w:pPr>
            <w:r w:rsidRPr="00E96712">
              <w:rPr>
                <w:b/>
                <w:i/>
                <w:sz w:val="20"/>
              </w:rPr>
              <w:t xml:space="preserve">Final total:  </w:t>
            </w:r>
          </w:p>
        </w:tc>
      </w:tr>
    </w:tbl>
    <w:p w14:paraId="5B2360BB" w14:textId="77777777" w:rsidR="00E96712" w:rsidRPr="001C0622" w:rsidRDefault="00000000"/>
    <w:p w14:paraId="7742BEA5" w14:textId="77777777" w:rsidR="00E96712" w:rsidRDefault="00000000"/>
    <w:sectPr w:rsidR="00E96712" w:rsidSect="00E96712">
      <w:pgSz w:w="15840" w:h="12240" w:orient="landscape"/>
      <w:pgMar w:top="900" w:right="864" w:bottom="1080" w:left="806" w:header="432"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12"/>
    <w:rsid w:val="0005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D6C190D"/>
  <w15:chartTrackingRefBased/>
  <w15:docId w15:val="{98637F10-62EB-E64E-9A04-E6C550CE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712"/>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9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MEMT 420, Teaching Elementary &amp; Secondary General Music</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MEMT 420, Teaching Elementary &amp; Secondary General Music</dc:title>
  <dc:subject/>
  <dc:creator>Music Dept</dc:creator>
  <cp:keywords/>
  <cp:lastModifiedBy>Welchhans, Mike</cp:lastModifiedBy>
  <cp:revision>2</cp:revision>
  <dcterms:created xsi:type="dcterms:W3CDTF">2023-05-31T14:43:00Z</dcterms:created>
  <dcterms:modified xsi:type="dcterms:W3CDTF">2023-05-31T14:43:00Z</dcterms:modified>
</cp:coreProperties>
</file>